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EF" w:rsidRPr="000D30BB" w:rsidRDefault="00CA6BEF" w:rsidP="000D30BB">
      <w:pPr>
        <w:pStyle w:val="Sansinterligne"/>
        <w:rPr>
          <w:b/>
          <w:sz w:val="20"/>
          <w:szCs w:val="20"/>
        </w:rPr>
      </w:pPr>
    </w:p>
    <w:p w:rsidR="000D30BB" w:rsidRPr="0014272F" w:rsidRDefault="000D30BB" w:rsidP="00430AC9">
      <w:pPr>
        <w:pStyle w:val="Chapitre"/>
        <w:rPr>
          <w:rFonts w:cs="Tahoma"/>
          <w:szCs w:val="22"/>
        </w:rPr>
      </w:pPr>
      <w:r w:rsidRPr="0014272F">
        <w:rPr>
          <w:rFonts w:cs="Tahoma"/>
          <w:szCs w:val="22"/>
        </w:rPr>
        <w:t xml:space="preserve">DOSSIER  - </w:t>
      </w:r>
      <w:r w:rsidR="00C767D1" w:rsidRPr="0014272F">
        <w:rPr>
          <w:rFonts w:cs="Tahoma"/>
          <w:caps/>
          <w:szCs w:val="22"/>
        </w:rPr>
        <w:t>LA GESTION DE LA TRÉSORERIE</w:t>
      </w:r>
    </w:p>
    <w:p w:rsidR="000D30BB" w:rsidRPr="000D30BB" w:rsidRDefault="000D30BB" w:rsidP="000D30BB">
      <w:pPr>
        <w:pStyle w:val="Sansinterligne"/>
        <w:jc w:val="center"/>
        <w:rPr>
          <w:sz w:val="20"/>
          <w:szCs w:val="20"/>
        </w:rPr>
      </w:pPr>
    </w:p>
    <w:p w:rsidR="00CA6BEF" w:rsidRDefault="00CA6BEF" w:rsidP="00953AEA">
      <w:pPr>
        <w:pStyle w:val="TexteSujet"/>
      </w:pPr>
      <w:bookmarkStart w:id="0" w:name="_GoBack"/>
      <w:bookmarkEnd w:id="0"/>
    </w:p>
    <w:p w:rsidR="00C767D1" w:rsidRDefault="00C767D1" w:rsidP="00C767D1">
      <w:pPr>
        <w:pStyle w:val="TexteSujet"/>
      </w:pPr>
      <w:r>
        <w:t xml:space="preserve">L’activité de la société RANDON’AIR est saisonnière : chaque année, elle réalise l’essentiel de son chiffre d’affaires de mars à septembre. L’entreprise doit intensifier sa production en début d’année afin  de constituer des stocks permettant de répondre à la demande qui se développe fortement dès le mois de mars. </w:t>
      </w:r>
    </w:p>
    <w:p w:rsidR="00C767D1" w:rsidRPr="00FF5FED" w:rsidRDefault="00C767D1" w:rsidP="00C767D1">
      <w:pPr>
        <w:pStyle w:val="TexteSujet"/>
      </w:pPr>
      <w:r>
        <w:t xml:space="preserve">Monsieur MONTAGNE s’inquiète des difficultés de trésorerie auxquelles il risque d’être confronté comme chaque année au premier trimestre. </w:t>
      </w:r>
      <w:r w:rsidRPr="00993BD5">
        <w:t>Il a  donc mis en place une démarche prévisionnelle afin d’observer l’évolution de sa trésorerie.</w:t>
      </w:r>
    </w:p>
    <w:p w:rsidR="00C767D1" w:rsidRDefault="00C767D1" w:rsidP="00C767D1">
      <w:pPr>
        <w:pStyle w:val="TexteSujet"/>
      </w:pPr>
    </w:p>
    <w:p w:rsidR="00C767D1" w:rsidRPr="00A71726" w:rsidRDefault="00C767D1" w:rsidP="00C767D1">
      <w:pPr>
        <w:pStyle w:val="TexteSujet"/>
      </w:pPr>
      <w:r w:rsidRPr="00A71726">
        <w:t xml:space="preserve">Vous disposez des </w:t>
      </w:r>
      <w:r w:rsidRPr="00242460">
        <w:rPr>
          <w:b/>
        </w:rPr>
        <w:t xml:space="preserve">annexes </w:t>
      </w:r>
      <w:r w:rsidR="00A256B7">
        <w:rPr>
          <w:b/>
        </w:rPr>
        <w:t>1</w:t>
      </w:r>
      <w:r>
        <w:rPr>
          <w:b/>
        </w:rPr>
        <w:t xml:space="preserve">, </w:t>
      </w:r>
      <w:r w:rsidR="00A256B7">
        <w:rPr>
          <w:b/>
        </w:rPr>
        <w:t>2</w:t>
      </w:r>
      <w:r w:rsidRPr="00242460">
        <w:rPr>
          <w:b/>
        </w:rPr>
        <w:t xml:space="preserve"> et </w:t>
      </w:r>
      <w:r w:rsidR="00A256B7">
        <w:rPr>
          <w:b/>
        </w:rPr>
        <w:t>3</w:t>
      </w:r>
      <w:r w:rsidRPr="00A71726">
        <w:t xml:space="preserve"> pour traiter ce dossier.</w:t>
      </w:r>
    </w:p>
    <w:p w:rsidR="00CA6BEF" w:rsidRPr="000D30BB" w:rsidRDefault="00CA6BEF" w:rsidP="00953AEA">
      <w:pPr>
        <w:pStyle w:val="TexteSujet"/>
      </w:pPr>
    </w:p>
    <w:p w:rsidR="000D30BB" w:rsidRPr="000D30BB" w:rsidRDefault="000D30BB" w:rsidP="000D30BB">
      <w:pPr>
        <w:pStyle w:val="Sansinterligne"/>
        <w:jc w:val="center"/>
        <w:rPr>
          <w:sz w:val="20"/>
          <w:szCs w:val="20"/>
        </w:rPr>
      </w:pPr>
    </w:p>
    <w:p w:rsidR="000D30BB" w:rsidRDefault="000D30BB" w:rsidP="00CA6BEF">
      <w:pPr>
        <w:pStyle w:val="TAF"/>
      </w:pPr>
      <w:r w:rsidRPr="000D30BB">
        <w:t>Travail à faire</w:t>
      </w:r>
    </w:p>
    <w:p w:rsidR="00CA6BEF" w:rsidRPr="000D30BB" w:rsidRDefault="00CA6BEF" w:rsidP="00CA6BEF">
      <w:pPr>
        <w:pStyle w:val="TAF"/>
      </w:pPr>
    </w:p>
    <w:p w:rsidR="00CA6BEF" w:rsidRPr="000D30BB" w:rsidRDefault="00CA6BEF" w:rsidP="00953AEA">
      <w:pPr>
        <w:pStyle w:val="TexteSujet"/>
      </w:pPr>
    </w:p>
    <w:p w:rsidR="00C767D1" w:rsidRPr="00C767D1" w:rsidRDefault="00C767D1" w:rsidP="00C767D1">
      <w:pPr>
        <w:pStyle w:val="Questions"/>
        <w:numPr>
          <w:ilvl w:val="0"/>
          <w:numId w:val="20"/>
        </w:numPr>
      </w:pPr>
      <w:r w:rsidRPr="00C767D1">
        <w:t>Justifier le montant prévu pour février dans le budget des encaissements présenté en annexe</w:t>
      </w:r>
      <w:r>
        <w:t> </w:t>
      </w:r>
      <w:r w:rsidR="00A256B7">
        <w:t>3</w:t>
      </w:r>
      <w:r w:rsidRPr="00C767D1">
        <w:t>.</w:t>
      </w:r>
    </w:p>
    <w:p w:rsidR="00C767D1" w:rsidRPr="00C767D1" w:rsidRDefault="00C767D1" w:rsidP="00C767D1">
      <w:pPr>
        <w:pStyle w:val="Questions"/>
      </w:pPr>
      <w:r w:rsidRPr="00C767D1">
        <w:t xml:space="preserve">Expliquer la ligne TVA à décaisser dans le budget des décaissements. </w:t>
      </w:r>
    </w:p>
    <w:p w:rsidR="00C767D1" w:rsidRPr="00C767D1" w:rsidRDefault="00C767D1" w:rsidP="00C767D1">
      <w:pPr>
        <w:pStyle w:val="Questions"/>
      </w:pPr>
      <w:r w:rsidRPr="00C767D1">
        <w:t>Pourquoi les dotations aux amortissements ne figurent-elles pas dans le budget des décaissements ?</w:t>
      </w:r>
    </w:p>
    <w:p w:rsidR="00C767D1" w:rsidRPr="00C767D1" w:rsidRDefault="00C767D1" w:rsidP="00C767D1">
      <w:pPr>
        <w:pStyle w:val="Questions"/>
      </w:pPr>
      <w:r w:rsidRPr="00C767D1">
        <w:t>Compléter le budget de trésorerie (annexe A à rendre avec la copie).</w:t>
      </w:r>
    </w:p>
    <w:p w:rsidR="00C767D1" w:rsidRPr="00C767D1" w:rsidRDefault="00C767D1" w:rsidP="00C767D1">
      <w:pPr>
        <w:pStyle w:val="Questions"/>
      </w:pPr>
      <w:r w:rsidRPr="00C767D1">
        <w:t xml:space="preserve">Pour équilibrer la trésorerie, Monsieur FROTOUT, qui a apporté 15 000 euros lors de la création de la société en 2004, propose de prêter 40 000 euros en compte courant, sans intérêts si la somme est remboursée dans les 3 mois. Cette solution est-elle envisageable d’après l’extrait des statuts fourni en annexe </w:t>
      </w:r>
      <w:r w:rsidR="00A256B7">
        <w:t>1</w:t>
      </w:r>
      <w:r w:rsidRPr="00C767D1">
        <w:t>.</w:t>
      </w:r>
    </w:p>
    <w:p w:rsidR="00C767D1" w:rsidRPr="00C767D1" w:rsidRDefault="00C767D1" w:rsidP="00C767D1">
      <w:pPr>
        <w:pStyle w:val="Questions"/>
      </w:pPr>
      <w:r w:rsidRPr="00C767D1">
        <w:t>Présenter le compte de résultat prévisionnel (annexe B à rendre avec la copie).</w:t>
      </w:r>
    </w:p>
    <w:p w:rsidR="00C767D1" w:rsidRDefault="00C767D1" w:rsidP="00C767D1">
      <w:pPr>
        <w:pStyle w:val="Questions"/>
      </w:pPr>
      <w:r w:rsidRPr="00C767D1">
        <w:t xml:space="preserve">Quelle est l’utilité de ce document  prévisionnel pour le dirigeant ? </w:t>
      </w:r>
    </w:p>
    <w:p w:rsidR="00C50922" w:rsidRDefault="00C50922" w:rsidP="00C50922">
      <w:pPr>
        <w:pStyle w:val="Questions"/>
        <w:numPr>
          <w:ilvl w:val="0"/>
          <w:numId w:val="0"/>
        </w:numPr>
        <w:ind w:left="720" w:hanging="360"/>
      </w:pPr>
    </w:p>
    <w:p w:rsidR="00C50922" w:rsidRDefault="00C50922" w:rsidP="00C50922">
      <w:pPr>
        <w:pStyle w:val="Questions"/>
        <w:numPr>
          <w:ilvl w:val="0"/>
          <w:numId w:val="0"/>
        </w:numPr>
        <w:ind w:left="720" w:hanging="360"/>
      </w:pPr>
    </w:p>
    <w:p w:rsidR="001B2BBE" w:rsidRDefault="001B2BBE" w:rsidP="00FC34AE">
      <w:pPr>
        <w:pStyle w:val="TexteSujet"/>
      </w:pPr>
    </w:p>
    <w:p w:rsidR="001B2BBE" w:rsidRPr="000D30BB" w:rsidRDefault="001B2BBE" w:rsidP="00FC34AE">
      <w:pPr>
        <w:pStyle w:val="TexteSujet"/>
      </w:pPr>
    </w:p>
    <w:p w:rsidR="00CA6BEF" w:rsidRPr="000D30BB" w:rsidRDefault="00CA6BEF" w:rsidP="00696C89">
      <w:pPr>
        <w:pStyle w:val="Sansinterligne"/>
        <w:rPr>
          <w:b/>
        </w:rPr>
      </w:pPr>
      <w:r>
        <w:rPr>
          <w:b/>
          <w:sz w:val="20"/>
          <w:szCs w:val="20"/>
        </w:rPr>
        <w:br w:type="page"/>
      </w:r>
    </w:p>
    <w:p w:rsidR="0091648A" w:rsidRPr="0091648A" w:rsidRDefault="0091648A" w:rsidP="0091648A">
      <w:pPr>
        <w:pStyle w:val="Annexe"/>
      </w:pPr>
      <w:r w:rsidRPr="0091648A">
        <w:rPr>
          <w:noProof/>
        </w:rPr>
        <w:lastRenderedPageBreak/>
        <w:t xml:space="preserve">ANNEXE </w:t>
      </w:r>
      <w:r w:rsidR="00A256B7">
        <w:rPr>
          <w:noProof/>
        </w:rPr>
        <w:t>1</w:t>
      </w:r>
      <w:r w:rsidRPr="0091648A">
        <w:rPr>
          <w:noProof/>
        </w:rPr>
        <w:t xml:space="preserve"> – </w:t>
      </w:r>
      <w:r w:rsidRPr="0091648A">
        <w:t xml:space="preserve"> Extraits des statuts de la société RANDON’AIR</w:t>
      </w:r>
    </w:p>
    <w:p w:rsidR="0091648A" w:rsidRPr="0091648A" w:rsidRDefault="0091648A" w:rsidP="0091648A">
      <w:pPr>
        <w:pStyle w:val="Annexe"/>
        <w:tabs>
          <w:tab w:val="left" w:pos="7605"/>
        </w:tabs>
        <w:jc w:val="left"/>
      </w:pPr>
      <w:r w:rsidRPr="0091648A">
        <w:tab/>
      </w: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FORME</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formé entre les propriétaires des parts sociales ci-après créées et de celles qui pourraient l'être ultérieurement, une Société à Responsabilité Limitée, qui sera régie par les lois en vigueur et notamment par les articles L223-1 du Code de commerce, ainsi que par les présents statuts […]</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8</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CAPITAL SOCIAL</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tabs>
          <w:tab w:val="right" w:leader="dot" w:pos="9498"/>
        </w:tabs>
        <w:rPr>
          <w:rFonts w:ascii="Tahoma" w:hAnsi="Tahoma" w:cs="Tahoma"/>
          <w:color w:val="auto"/>
          <w:sz w:val="20"/>
          <w:szCs w:val="20"/>
        </w:rPr>
      </w:pPr>
      <w:r w:rsidRPr="0091648A">
        <w:rPr>
          <w:rFonts w:ascii="Tahoma" w:hAnsi="Tahoma" w:cs="Tahoma"/>
          <w:color w:val="auto"/>
          <w:sz w:val="20"/>
          <w:szCs w:val="20"/>
        </w:rPr>
        <w:t>Le capital social est fixé à la somme de  200 000 euros.</w:t>
      </w: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divisé en 1 000 parts de 200 euros chacune, entièrement libérées […]</w:t>
      </w:r>
    </w:p>
    <w:p w:rsidR="0091648A" w:rsidRPr="0091648A" w:rsidRDefault="0091648A" w:rsidP="0091648A">
      <w:pPr>
        <w:pStyle w:val="Nor"/>
        <w:rPr>
          <w:rFonts w:ascii="Tahoma" w:hAnsi="Tahoma" w:cs="Tahoma"/>
          <w:color w:val="auto"/>
          <w:sz w:val="20"/>
          <w:szCs w:val="20"/>
        </w:rPr>
      </w:pPr>
    </w:p>
    <w:p w:rsidR="0091648A" w:rsidRPr="0091648A" w:rsidRDefault="0091648A" w:rsidP="0091648A">
      <w:pPr>
        <w:rPr>
          <w:rFonts w:ascii="Tahoma" w:hAnsi="Tahoma" w:cs="Tahoma"/>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19</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Comptes courants d'associÉs</w:t>
      </w:r>
    </w:p>
    <w:p w:rsidR="0091648A" w:rsidRPr="0091648A" w:rsidRDefault="0091648A" w:rsidP="0091648A">
      <w:pPr>
        <w:pStyle w:val="T2"/>
        <w:rPr>
          <w:rFonts w:ascii="Tahoma" w:hAnsi="Tahoma" w:cs="Tahoma"/>
          <w:color w:val="auto"/>
          <w:sz w:val="20"/>
          <w:szCs w:val="20"/>
          <w:u w:val="single"/>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Chaque associé peut consentir des avances à la société sous forme de versements dans la caisse sociale s’il dispose d’au moins 5% du capital de la société. Les conditions de rémunération et de retrait de ces comptes courants, notamment, sont fixées par acte séparé entre les intéressés et la gérance. Les comptes courants ne peuvent jamais être débiteurs […]</w:t>
      </w:r>
    </w:p>
    <w:p w:rsidR="00E949A0" w:rsidRDefault="00E949A0" w:rsidP="00062ECE">
      <w:pPr>
        <w:pStyle w:val="Annexe"/>
        <w:rPr>
          <w:noProof/>
        </w:rPr>
      </w:pPr>
    </w:p>
    <w:p w:rsidR="00E949A0" w:rsidRDefault="00E949A0" w:rsidP="00062ECE">
      <w:pPr>
        <w:pStyle w:val="Annexe"/>
        <w:rPr>
          <w:noProof/>
        </w:rPr>
      </w:pPr>
    </w:p>
    <w:p w:rsidR="00E949A0" w:rsidRDefault="00E949A0" w:rsidP="00062ECE">
      <w:pPr>
        <w:pStyle w:val="Annexe"/>
        <w:rPr>
          <w:noProof/>
        </w:rPr>
      </w:pPr>
    </w:p>
    <w:p w:rsidR="00E949A0" w:rsidRDefault="00E949A0" w:rsidP="00062ECE">
      <w:pPr>
        <w:pStyle w:val="Annexe"/>
        <w:rPr>
          <w:noProof/>
        </w:rPr>
      </w:pPr>
    </w:p>
    <w:p w:rsidR="002B19C4" w:rsidRPr="002B19C4" w:rsidRDefault="002B19C4" w:rsidP="00062ECE">
      <w:pPr>
        <w:pStyle w:val="Annexe"/>
      </w:pPr>
      <w:r w:rsidRPr="002B19C4">
        <w:rPr>
          <w:noProof/>
        </w:rPr>
        <w:t xml:space="preserve">ANNEXE </w:t>
      </w:r>
      <w:r w:rsidR="00A256B7">
        <w:rPr>
          <w:noProof/>
        </w:rPr>
        <w:t>2</w:t>
      </w:r>
      <w:r w:rsidRPr="002B19C4">
        <w:rPr>
          <w:noProof/>
        </w:rPr>
        <w:t xml:space="preserve"> – </w:t>
      </w:r>
      <w:r w:rsidRPr="002B19C4">
        <w:t xml:space="preserve"> Bilan de la société RANDON’AIR au 31 décembre 2013</w:t>
      </w:r>
      <w:r w:rsidR="00062ECE">
        <w:br/>
      </w:r>
      <w:r w:rsidRPr="00062ECE">
        <w:t>avant répartition (en euros)</w:t>
      </w:r>
      <w:r w:rsidRPr="002B19C4">
        <w:rPr>
          <w:b w:val="0"/>
        </w:rPr>
        <w:tab/>
      </w:r>
    </w:p>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tbl>
      <w:tblPr>
        <w:tblW w:w="10677" w:type="dxa"/>
        <w:jc w:val="center"/>
        <w:tblLayout w:type="fixed"/>
        <w:tblCellMar>
          <w:left w:w="70" w:type="dxa"/>
          <w:right w:w="70" w:type="dxa"/>
        </w:tblCellMar>
        <w:tblLook w:val="0000" w:firstRow="0" w:lastRow="0" w:firstColumn="0" w:lastColumn="0" w:noHBand="0" w:noVBand="0"/>
      </w:tblPr>
      <w:tblGrid>
        <w:gridCol w:w="3153"/>
        <w:gridCol w:w="1060"/>
        <w:gridCol w:w="1244"/>
        <w:gridCol w:w="1080"/>
        <w:gridCol w:w="3051"/>
        <w:gridCol w:w="1089"/>
      </w:tblGrid>
      <w:tr w:rsidR="00E045E9" w:rsidRPr="002B19C4" w:rsidTr="00E045E9">
        <w:trPr>
          <w:jc w:val="center"/>
        </w:trPr>
        <w:tc>
          <w:tcPr>
            <w:tcW w:w="3153"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Actif</w:t>
            </w:r>
          </w:p>
        </w:tc>
        <w:tc>
          <w:tcPr>
            <w:tcW w:w="106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Brut</w:t>
            </w:r>
          </w:p>
        </w:tc>
        <w:tc>
          <w:tcPr>
            <w:tcW w:w="1244" w:type="dxa"/>
            <w:tcBorders>
              <w:top w:val="single" w:sz="4" w:space="0" w:color="000000"/>
              <w:left w:val="single" w:sz="4" w:space="0" w:color="000000"/>
              <w:bottom w:val="single" w:sz="4" w:space="0" w:color="000000"/>
            </w:tcBorders>
            <w:shd w:val="clear" w:color="auto" w:fill="DEEAF6"/>
            <w:vAlign w:val="center"/>
          </w:tcPr>
          <w:p w:rsidR="002B19C4" w:rsidRPr="00062ECE" w:rsidRDefault="002B19C4" w:rsidP="00E045E9">
            <w:pPr>
              <w:keepNext/>
              <w:jc w:val="center"/>
              <w:rPr>
                <w:rFonts w:ascii="Tahoma" w:hAnsi="Tahoma" w:cs="Tahoma"/>
                <w:b/>
                <w:sz w:val="18"/>
                <w:szCs w:val="18"/>
              </w:rPr>
            </w:pPr>
            <w:proofErr w:type="spellStart"/>
            <w:r w:rsidRPr="00062ECE">
              <w:rPr>
                <w:rFonts w:ascii="Tahoma" w:hAnsi="Tahoma" w:cs="Tahoma"/>
                <w:b/>
                <w:sz w:val="18"/>
                <w:szCs w:val="18"/>
              </w:rPr>
              <w:t>Amortis-sements</w:t>
            </w:r>
            <w:proofErr w:type="spellEnd"/>
            <w:r w:rsidRPr="00062ECE">
              <w:rPr>
                <w:rFonts w:ascii="Tahoma" w:hAnsi="Tahoma" w:cs="Tahoma"/>
                <w:b/>
                <w:sz w:val="18"/>
                <w:szCs w:val="18"/>
              </w:rPr>
              <w:t xml:space="preserve"> et </w:t>
            </w:r>
            <w:proofErr w:type="spellStart"/>
            <w:r w:rsidRPr="00062ECE">
              <w:rPr>
                <w:rFonts w:ascii="Tahoma" w:hAnsi="Tahoma" w:cs="Tahoma"/>
                <w:b/>
                <w:sz w:val="18"/>
                <w:szCs w:val="18"/>
              </w:rPr>
              <w:t>déprécia-tions</w:t>
            </w:r>
            <w:proofErr w:type="spellEnd"/>
          </w:p>
        </w:tc>
        <w:tc>
          <w:tcPr>
            <w:tcW w:w="108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Net</w:t>
            </w:r>
          </w:p>
        </w:tc>
        <w:tc>
          <w:tcPr>
            <w:tcW w:w="3051"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Passif</w:t>
            </w:r>
          </w:p>
        </w:tc>
        <w:tc>
          <w:tcPr>
            <w:tcW w:w="108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Net</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Immobilisé</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Capitaux Propres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incorporelles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1 480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Capital</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200 000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408 470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50 000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358 470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Réserve légale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18 500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financières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1 450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Autres réserves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E045E9">
            <w:pPr>
              <w:keepNext/>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Report à nouveau créditeur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tabs>
                <w:tab w:val="center" w:pos="412"/>
              </w:tabs>
              <w:ind w:right="93"/>
              <w:jc w:val="right"/>
              <w:rPr>
                <w:rFonts w:ascii="Tahoma" w:hAnsi="Tahoma" w:cs="Tahoma"/>
                <w:sz w:val="18"/>
                <w:szCs w:val="18"/>
              </w:rPr>
            </w:pPr>
            <w:r w:rsidRPr="002B19C4">
              <w:rPr>
                <w:rFonts w:ascii="Tahoma" w:hAnsi="Tahoma" w:cs="Tahoma"/>
                <w:sz w:val="18"/>
                <w:szCs w:val="18"/>
              </w:rPr>
              <w:t xml:space="preserve">          600     </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E045E9">
            <w:pPr>
              <w:keepNext/>
              <w:snapToGrid w:val="0"/>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Résultat de l’exercice (bénéfice)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b/>
                <w:sz w:val="18"/>
                <w:szCs w:val="18"/>
              </w:rPr>
            </w:pPr>
            <w:r w:rsidRPr="002B19C4">
              <w:rPr>
                <w:rFonts w:ascii="Tahoma" w:hAnsi="Tahoma" w:cs="Tahoma"/>
                <w:sz w:val="18"/>
                <w:szCs w:val="18"/>
              </w:rPr>
              <w:t>50 000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TOTAL 1</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00"/>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411 420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18"/>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50 020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64"/>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361 400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color w:val="800000"/>
                <w:sz w:val="18"/>
                <w:szCs w:val="18"/>
              </w:rPr>
            </w:pPr>
            <w:r w:rsidRPr="002B19C4">
              <w:rPr>
                <w:rFonts w:ascii="Tahoma" w:hAnsi="Tahoma" w:cs="Tahoma"/>
                <w:b/>
                <w:sz w:val="18"/>
                <w:szCs w:val="18"/>
              </w:rPr>
              <w:t>TOTAL 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 xml:space="preserve">  349 100</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Circulant</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Dettes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Stocks et en-cours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2 950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2 950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Emprunts et dettes     assimilés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90 000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Créances clients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9 500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9 500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fournisseurs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VMP</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39 000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r w:rsidRPr="002B19C4">
              <w:rPr>
                <w:rFonts w:ascii="Tahoma" w:hAnsi="Tahoma" w:cs="Tahoma"/>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38 900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fiscales et sociales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sz w:val="18"/>
                <w:szCs w:val="18"/>
              </w:rPr>
              <w:t xml:space="preserve"> Disponibilités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00"/>
              <w:jc w:val="right"/>
              <w:rPr>
                <w:rFonts w:ascii="Tahoma" w:hAnsi="Tahoma" w:cs="Tahoma"/>
                <w:sz w:val="18"/>
                <w:szCs w:val="18"/>
              </w:rPr>
            </w:pPr>
            <w:r w:rsidRPr="002B19C4">
              <w:rPr>
                <w:rFonts w:ascii="Tahoma" w:hAnsi="Tahoma" w:cs="Tahoma"/>
                <w:sz w:val="18"/>
                <w:szCs w:val="18"/>
              </w:rPr>
              <w:t>42 500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64"/>
              <w:jc w:val="right"/>
              <w:rPr>
                <w:rFonts w:ascii="Tahoma" w:hAnsi="Tahoma" w:cs="Tahoma"/>
                <w:sz w:val="18"/>
                <w:szCs w:val="18"/>
              </w:rPr>
            </w:pPr>
            <w:r w:rsidRPr="002B19C4">
              <w:rPr>
                <w:rFonts w:ascii="Tahoma" w:hAnsi="Tahoma" w:cs="Tahoma"/>
                <w:sz w:val="18"/>
                <w:szCs w:val="18"/>
              </w:rPr>
              <w:t>42 500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diverses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150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2</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93 950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b/>
                <w:sz w:val="18"/>
                <w:szCs w:val="18"/>
              </w:rPr>
            </w:pPr>
            <w:r w:rsidRPr="002B19C4">
              <w:rPr>
                <w:rFonts w:ascii="Tahoma" w:hAnsi="Tahoma" w:cs="Tahoma"/>
                <w:b/>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93 850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 xml:space="preserve"> 106 150</w:t>
            </w:r>
          </w:p>
        </w:tc>
      </w:tr>
      <w:tr w:rsidR="00E045E9" w:rsidRPr="002B19C4" w:rsidTr="00E045E9">
        <w:trPr>
          <w:trHeight w:val="669"/>
          <w:jc w:val="center"/>
        </w:trPr>
        <w:tc>
          <w:tcPr>
            <w:tcW w:w="3153"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TOTAL GÉNÉRAL (1+2)</w:t>
            </w:r>
          </w:p>
        </w:tc>
        <w:tc>
          <w:tcPr>
            <w:tcW w:w="106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ind w:right="-106"/>
              <w:jc w:val="center"/>
              <w:rPr>
                <w:rFonts w:ascii="Tahoma" w:hAnsi="Tahoma" w:cs="Tahoma"/>
                <w:b/>
                <w:sz w:val="18"/>
                <w:szCs w:val="18"/>
              </w:rPr>
            </w:pPr>
            <w:r w:rsidRPr="002B19C4">
              <w:rPr>
                <w:rFonts w:ascii="Tahoma" w:hAnsi="Tahoma" w:cs="Tahoma"/>
                <w:b/>
                <w:sz w:val="18"/>
                <w:szCs w:val="18"/>
              </w:rPr>
              <w:t>505 370</w:t>
            </w:r>
          </w:p>
        </w:tc>
        <w:tc>
          <w:tcPr>
            <w:tcW w:w="1244"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50 120</w:t>
            </w:r>
          </w:p>
        </w:tc>
        <w:tc>
          <w:tcPr>
            <w:tcW w:w="108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455 250</w:t>
            </w:r>
          </w:p>
        </w:tc>
        <w:tc>
          <w:tcPr>
            <w:tcW w:w="3051"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GÉNÉRAL (1+2)</w:t>
            </w:r>
          </w:p>
        </w:tc>
        <w:tc>
          <w:tcPr>
            <w:tcW w:w="108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455 250</w:t>
            </w:r>
          </w:p>
        </w:tc>
      </w:tr>
    </w:tbl>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E949A0" w:rsidRDefault="002B19C4" w:rsidP="002B19C4">
      <w:pPr>
        <w:tabs>
          <w:tab w:val="left" w:pos="2948"/>
        </w:tabs>
        <w:rPr>
          <w:rFonts w:ascii="Tahoma" w:hAnsi="Tahoma" w:cs="Tahoma"/>
          <w:sz w:val="20"/>
          <w:szCs w:val="20"/>
        </w:rPr>
      </w:pPr>
      <w:r w:rsidRPr="002B19C4">
        <w:rPr>
          <w:rFonts w:ascii="Tahoma" w:hAnsi="Tahoma" w:cs="Tahoma"/>
          <w:sz w:val="20"/>
          <w:szCs w:val="20"/>
        </w:rPr>
        <w:tab/>
      </w:r>
    </w:p>
    <w:p w:rsidR="00E949A0" w:rsidRDefault="00E949A0">
      <w:pPr>
        <w:widowControl/>
        <w:autoSpaceDE/>
        <w:autoSpaceDN/>
        <w:adjustRightInd/>
        <w:rPr>
          <w:rFonts w:ascii="Tahoma" w:hAnsi="Tahoma" w:cs="Tahoma"/>
          <w:sz w:val="20"/>
          <w:szCs w:val="20"/>
        </w:rPr>
      </w:pPr>
      <w:r>
        <w:rPr>
          <w:rFonts w:ascii="Tahoma" w:hAnsi="Tahoma" w:cs="Tahoma"/>
          <w:sz w:val="20"/>
          <w:szCs w:val="20"/>
        </w:rPr>
        <w:br w:type="page"/>
      </w:r>
    </w:p>
    <w:p w:rsidR="002B19C4" w:rsidRPr="002B19C4" w:rsidRDefault="002B19C4" w:rsidP="002B19C4">
      <w:pPr>
        <w:tabs>
          <w:tab w:val="left" w:pos="2948"/>
        </w:tabs>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pStyle w:val="Annexe"/>
        <w:rPr>
          <w:noProof/>
        </w:rPr>
      </w:pPr>
      <w:r w:rsidRPr="002B19C4">
        <w:rPr>
          <w:noProof/>
        </w:rPr>
        <w:t xml:space="preserve">ANNEXE </w:t>
      </w:r>
      <w:r w:rsidR="00A256B7">
        <w:rPr>
          <w:noProof/>
        </w:rPr>
        <w:t>3</w:t>
      </w:r>
      <w:r w:rsidRPr="002B19C4">
        <w:rPr>
          <w:noProof/>
        </w:rPr>
        <w:t xml:space="preserve"> – </w:t>
      </w:r>
      <w:r w:rsidRPr="002B19C4">
        <w:t>Budgets prévisionnels pour 2014</w:t>
      </w:r>
    </w:p>
    <w:p w:rsidR="002B19C4" w:rsidRPr="002B19C4" w:rsidRDefault="002B19C4" w:rsidP="002B19C4">
      <w:pPr>
        <w:rPr>
          <w:rFonts w:ascii="Tahoma" w:hAnsi="Tahoma" w:cs="Tahoma"/>
          <w:b/>
          <w:sz w:val="20"/>
          <w:szCs w:val="20"/>
        </w:rPr>
      </w:pPr>
    </w:p>
    <w:p w:rsidR="002B19C4" w:rsidRPr="002B19C4" w:rsidRDefault="002B19C4" w:rsidP="002B19C4">
      <w:pPr>
        <w:rPr>
          <w:rFonts w:ascii="Tahoma" w:hAnsi="Tahoma" w:cs="Tahoma"/>
          <w:sz w:val="20"/>
          <w:szCs w:val="20"/>
        </w:rPr>
      </w:pPr>
      <w:r w:rsidRPr="002B19C4">
        <w:rPr>
          <w:rFonts w:ascii="Tahoma" w:hAnsi="Tahoma" w:cs="Tahoma"/>
          <w:sz w:val="20"/>
          <w:szCs w:val="20"/>
        </w:rPr>
        <w:t>(Les montants sont arrondis à l’euro supérieur)</w:t>
      </w:r>
    </w:p>
    <w:p w:rsidR="002B19C4" w:rsidRPr="002B19C4" w:rsidRDefault="002B19C4" w:rsidP="002B19C4">
      <w:pPr>
        <w:rPr>
          <w:rFonts w:ascii="Tahoma" w:hAnsi="Tahoma" w:cs="Tahoma"/>
          <w:b/>
          <w:sz w:val="20"/>
          <w:szCs w:val="20"/>
        </w:rPr>
      </w:pPr>
    </w:p>
    <w:tbl>
      <w:tblPr>
        <w:tblW w:w="10223" w:type="dxa"/>
        <w:jc w:val="center"/>
        <w:tblLayout w:type="fixed"/>
        <w:tblCellMar>
          <w:left w:w="70" w:type="dxa"/>
          <w:right w:w="70" w:type="dxa"/>
        </w:tblCellMar>
        <w:tblLook w:val="0000" w:firstRow="0" w:lastRow="0" w:firstColumn="0" w:lastColumn="0" w:noHBand="0" w:noVBand="0"/>
      </w:tblPr>
      <w:tblGrid>
        <w:gridCol w:w="4079"/>
        <w:gridCol w:w="1260"/>
        <w:gridCol w:w="45"/>
        <w:gridCol w:w="1151"/>
        <w:gridCol w:w="1164"/>
        <w:gridCol w:w="1260"/>
        <w:gridCol w:w="78"/>
        <w:gridCol w:w="1186"/>
      </w:tblGrid>
      <w:tr w:rsidR="002B19C4" w:rsidRPr="002B19C4" w:rsidTr="00E045E9">
        <w:trPr>
          <w:trHeight w:val="315"/>
          <w:jc w:val="center"/>
        </w:trPr>
        <w:tc>
          <w:tcPr>
            <w:tcW w:w="4079"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ventes</w:t>
            </w: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2B19C4" w:rsidRDefault="002B19C4" w:rsidP="00E33944">
            <w:pPr>
              <w:jc w:val="center"/>
              <w:rPr>
                <w:rFonts w:ascii="Tahoma" w:hAnsi="Tahoma" w:cs="Tahoma"/>
                <w:b/>
                <w:bCs/>
                <w:sz w:val="20"/>
                <w:szCs w:val="20"/>
              </w:rPr>
            </w:pPr>
            <w:r w:rsidRPr="002B19C4">
              <w:rPr>
                <w:rFonts w:ascii="Tahoma" w:hAnsi="Tahoma" w:cs="Tahoma"/>
                <w:b/>
                <w:bCs/>
                <w:sz w:val="20"/>
                <w:szCs w:val="20"/>
              </w:rPr>
              <w:t>Total</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Ventes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100 000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130 000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160 000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190 000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580 000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TVA collectée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31 360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37 240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113 680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Ventes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155 480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227 240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693 680</w:t>
            </w:r>
          </w:p>
        </w:tc>
      </w:tr>
      <w:tr w:rsidR="002B19C4" w:rsidRPr="002B19C4" w:rsidTr="00E045E9">
        <w:trPr>
          <w:trHeight w:val="315"/>
          <w:jc w:val="center"/>
        </w:trPr>
        <w:tc>
          <w:tcPr>
            <w:tcW w:w="5384" w:type="dxa"/>
            <w:gridSpan w:val="3"/>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approvisionnements</w:t>
            </w:r>
          </w:p>
        </w:tc>
        <w:tc>
          <w:tcPr>
            <w:tcW w:w="1151"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bCs/>
                <w:sz w:val="20"/>
                <w:szCs w:val="20"/>
              </w:rPr>
            </w:pPr>
            <w:r w:rsidRPr="00E33944">
              <w:rPr>
                <w:rFonts w:ascii="Tahoma" w:hAnsi="Tahoma" w:cs="Tahoma"/>
                <w:b/>
                <w:bCs/>
                <w:sz w:val="20"/>
                <w:szCs w:val="20"/>
              </w:rPr>
              <w:t>Total</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Achats de matières premières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50 000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50 000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80 000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110 000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290 000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TVA déductible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9 800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9 800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15 680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21 560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56 840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Achats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59 800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59 800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95 680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131 560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346 840</w:t>
            </w:r>
          </w:p>
        </w:tc>
      </w:tr>
      <w:tr w:rsidR="002B19C4" w:rsidRPr="002B19C4" w:rsidTr="00E045E9">
        <w:trPr>
          <w:trHeight w:val="315"/>
          <w:jc w:val="center"/>
        </w:trPr>
        <w:tc>
          <w:tcPr>
            <w:tcW w:w="4079"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ind w:right="-250"/>
              <w:rPr>
                <w:rFonts w:ascii="Tahoma" w:hAnsi="Tahoma" w:cs="Tahoma"/>
                <w:b/>
                <w:bCs/>
                <w:sz w:val="20"/>
                <w:szCs w:val="20"/>
              </w:rPr>
            </w:pPr>
            <w:r w:rsidRPr="002B19C4">
              <w:rPr>
                <w:rFonts w:ascii="Tahoma" w:hAnsi="Tahoma" w:cs="Tahoma"/>
                <w:b/>
                <w:bCs/>
                <w:sz w:val="20"/>
                <w:szCs w:val="20"/>
              </w:rPr>
              <w:t>Budget des charges de personnel</w:t>
            </w:r>
          </w:p>
        </w:tc>
        <w:tc>
          <w:tcPr>
            <w:tcW w:w="1260"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bCs/>
                <w:sz w:val="20"/>
                <w:szCs w:val="20"/>
              </w:rPr>
            </w:pPr>
            <w:r w:rsidRPr="00E33944">
              <w:rPr>
                <w:rFonts w:ascii="Tahoma" w:hAnsi="Tahoma" w:cs="Tahoma"/>
                <w:b/>
                <w:bCs/>
                <w:sz w:val="20"/>
                <w:szCs w:val="20"/>
              </w:rPr>
              <w:t>Total</w:t>
            </w:r>
          </w:p>
        </w:tc>
      </w:tr>
      <w:tr w:rsidR="002B19C4" w:rsidRPr="002B19C4" w:rsidTr="00E33944">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Salaires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80 000</w:t>
            </w:r>
          </w:p>
        </w:tc>
      </w:tr>
      <w:tr w:rsidR="002B19C4" w:rsidRPr="002B19C4" w:rsidTr="00E33944">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Charges sociales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32 000</w:t>
            </w:r>
          </w:p>
        </w:tc>
      </w:tr>
      <w:tr w:rsidR="002B19C4" w:rsidRPr="002B19C4" w:rsidTr="00E045E9">
        <w:trPr>
          <w:trHeight w:val="315"/>
          <w:jc w:val="center"/>
        </w:trPr>
        <w:tc>
          <w:tcPr>
            <w:tcW w:w="4079"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sz w:val="20"/>
                <w:szCs w:val="20"/>
              </w:rPr>
            </w:pPr>
            <w:r w:rsidRPr="002B19C4">
              <w:rPr>
                <w:rFonts w:ascii="Tahoma" w:hAnsi="Tahoma" w:cs="Tahoma"/>
                <w:b/>
                <w:bCs/>
                <w:sz w:val="20"/>
                <w:szCs w:val="20"/>
              </w:rPr>
              <w:t>Budget des autres charges</w:t>
            </w:r>
          </w:p>
        </w:tc>
        <w:tc>
          <w:tcPr>
            <w:tcW w:w="1260"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bCs/>
                <w:sz w:val="20"/>
                <w:szCs w:val="20"/>
              </w:rPr>
            </w:pPr>
            <w:r w:rsidRPr="00707729">
              <w:rPr>
                <w:rFonts w:ascii="Tahoma" w:hAnsi="Tahoma" w:cs="Tahoma"/>
                <w:b/>
                <w:bCs/>
                <w:sz w:val="20"/>
                <w:szCs w:val="20"/>
              </w:rPr>
              <w:t>Total</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Dotations aux amortissements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14 000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Autres charges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8 600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9 000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9 000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35 200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TVA déductible sur autres charges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1 686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1 686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1 764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1 764</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6 900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Autres charges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10 286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10 286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10 764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10 764</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42 100</w:t>
            </w:r>
          </w:p>
        </w:tc>
      </w:tr>
      <w:tr w:rsidR="002B19C4" w:rsidRPr="002B19C4" w:rsidTr="00E045E9">
        <w:trPr>
          <w:gridAfter w:val="1"/>
          <w:wAfter w:w="1186" w:type="dxa"/>
          <w:trHeight w:val="315"/>
          <w:jc w:val="center"/>
        </w:trPr>
        <w:tc>
          <w:tcPr>
            <w:tcW w:w="4079"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 TVA</w:t>
            </w: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338"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gridAfter w:val="2"/>
          <w:wAfter w:w="1264" w:type="dxa"/>
          <w:trHeight w:val="300"/>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Avril</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collectée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25 480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37 240</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déductible  sur autres biens et services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11 486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11 486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17 444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23 324</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déductible sur immobilisations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à décaisser</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8 114</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13 994</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13 916</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13 916</w:t>
            </w:r>
          </w:p>
        </w:tc>
      </w:tr>
    </w:tbl>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6B422E" w:rsidRDefault="00707729" w:rsidP="006B422E">
      <w:pPr>
        <w:pStyle w:val="Annexe"/>
        <w:widowControl w:val="0"/>
        <w:overflowPunct/>
        <w:textAlignment w:val="auto"/>
        <w:rPr>
          <w:rFonts w:eastAsia="Times New Roman"/>
          <w:bCs w:val="0"/>
        </w:rPr>
      </w:pPr>
      <w:r w:rsidRPr="006B422E">
        <w:rPr>
          <w:rFonts w:eastAsia="Times New Roman"/>
          <w:bCs w:val="0"/>
        </w:rPr>
        <w:br w:type="page"/>
      </w:r>
    </w:p>
    <w:p w:rsidR="002B19C4" w:rsidRPr="002B19C4" w:rsidRDefault="002B19C4" w:rsidP="002B19C4">
      <w:pPr>
        <w:jc w:val="center"/>
        <w:rPr>
          <w:rFonts w:ascii="Tahoma" w:hAnsi="Tahoma" w:cs="Tahoma"/>
          <w:b/>
          <w:sz w:val="20"/>
          <w:szCs w:val="20"/>
        </w:rPr>
      </w:pPr>
    </w:p>
    <w:p w:rsidR="002B19C4" w:rsidRPr="002B19C4" w:rsidRDefault="002B19C4" w:rsidP="002B19C4">
      <w:pPr>
        <w:rPr>
          <w:rFonts w:ascii="Tahoma" w:hAnsi="Tahoma" w:cs="Tahoma"/>
          <w:b/>
          <w:sz w:val="20"/>
          <w:szCs w:val="20"/>
        </w:rPr>
      </w:pPr>
      <w:r w:rsidRPr="002B19C4">
        <w:rPr>
          <w:rFonts w:ascii="Tahoma" w:hAnsi="Tahoma" w:cs="Tahoma"/>
          <w:b/>
          <w:sz w:val="20"/>
          <w:szCs w:val="20"/>
        </w:rPr>
        <w:t xml:space="preserve">ANNEXE </w:t>
      </w:r>
      <w:r w:rsidR="00A256B7">
        <w:rPr>
          <w:rFonts w:ascii="Tahoma" w:hAnsi="Tahoma" w:cs="Tahoma"/>
          <w:b/>
          <w:sz w:val="20"/>
          <w:szCs w:val="20"/>
        </w:rPr>
        <w:t>3</w:t>
      </w:r>
      <w:r w:rsidRPr="002B19C4">
        <w:rPr>
          <w:rFonts w:ascii="Tahoma" w:hAnsi="Tahoma" w:cs="Tahoma"/>
          <w:b/>
          <w:sz w:val="20"/>
          <w:szCs w:val="20"/>
        </w:rPr>
        <w:t xml:space="preserve"> (suite)</w:t>
      </w:r>
    </w:p>
    <w:p w:rsidR="002B19C4" w:rsidRPr="002B19C4" w:rsidRDefault="002B19C4" w:rsidP="002B19C4">
      <w:pPr>
        <w:rPr>
          <w:rFonts w:ascii="Tahoma" w:hAnsi="Tahoma" w:cs="Tahoma"/>
          <w:b/>
          <w:color w:val="FF0000"/>
          <w:sz w:val="20"/>
          <w:szCs w:val="20"/>
        </w:rPr>
      </w:pPr>
    </w:p>
    <w:tbl>
      <w:tblPr>
        <w:tblW w:w="621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75"/>
        <w:gridCol w:w="1339"/>
      </w:tblGrid>
      <w:tr w:rsidR="002B19C4" w:rsidRPr="002B19C4" w:rsidTr="00E045E9">
        <w:trPr>
          <w:trHeight w:val="300"/>
        </w:trPr>
        <w:tc>
          <w:tcPr>
            <w:tcW w:w="6214" w:type="dxa"/>
            <w:gridSpan w:val="2"/>
            <w:tcBorders>
              <w:top w:val="single" w:sz="4" w:space="0" w:color="auto"/>
              <w:bottom w:val="single" w:sz="4" w:space="0" w:color="auto"/>
            </w:tcBorders>
            <w:shd w:val="clear" w:color="auto" w:fill="DEEAF6"/>
            <w:noWrap/>
            <w:vAlign w:val="center"/>
          </w:tcPr>
          <w:p w:rsidR="002B19C4" w:rsidRPr="006B422E" w:rsidRDefault="002B19C4" w:rsidP="006B422E">
            <w:pPr>
              <w:pStyle w:val="Annexe"/>
              <w:widowControl w:val="0"/>
              <w:overflowPunct/>
              <w:textAlignment w:val="auto"/>
              <w:rPr>
                <w:rFonts w:eastAsia="Times New Roman"/>
                <w:bCs w:val="0"/>
              </w:rPr>
            </w:pPr>
            <w:r w:rsidRPr="006B422E">
              <w:rPr>
                <w:rFonts w:eastAsia="Times New Roman"/>
                <w:bCs w:val="0"/>
              </w:rPr>
              <w:t>Répartition encaissements des ventes</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comptant</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30%</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à 30 jours</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50%</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à 60 jours</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20%</w:t>
            </w:r>
          </w:p>
        </w:tc>
      </w:tr>
    </w:tbl>
    <w:p w:rsidR="002B19C4" w:rsidRPr="002B19C4" w:rsidRDefault="002B19C4" w:rsidP="002B19C4">
      <w:pPr>
        <w:rPr>
          <w:rFonts w:ascii="Tahoma" w:hAnsi="Tahoma" w:cs="Tahoma"/>
          <w:b/>
          <w:sz w:val="20"/>
          <w:szCs w:val="20"/>
        </w:rPr>
      </w:pPr>
    </w:p>
    <w:p w:rsidR="002B19C4" w:rsidRPr="002B19C4" w:rsidRDefault="002B19C4" w:rsidP="002B19C4">
      <w:pPr>
        <w:rPr>
          <w:rFonts w:ascii="Tahoma" w:hAnsi="Tahoma" w:cs="Tahoma"/>
          <w:b/>
          <w:sz w:val="20"/>
          <w:szCs w:val="20"/>
        </w:rPr>
      </w:pPr>
    </w:p>
    <w:tbl>
      <w:tblPr>
        <w:tblW w:w="10275" w:type="dxa"/>
        <w:jc w:val="center"/>
        <w:tblCellMar>
          <w:left w:w="70" w:type="dxa"/>
          <w:right w:w="70" w:type="dxa"/>
        </w:tblCellMar>
        <w:tblLook w:val="0000" w:firstRow="0" w:lastRow="0" w:firstColumn="0" w:lastColumn="0" w:noHBand="0" w:noVBand="0"/>
      </w:tblPr>
      <w:tblGrid>
        <w:gridCol w:w="3975"/>
        <w:gridCol w:w="1620"/>
        <w:gridCol w:w="1620"/>
        <w:gridCol w:w="1620"/>
        <w:gridCol w:w="1440"/>
      </w:tblGrid>
      <w:tr w:rsidR="002B19C4" w:rsidRPr="002B19C4" w:rsidTr="00E045E9">
        <w:trPr>
          <w:trHeight w:val="315"/>
          <w:jc w:val="center"/>
        </w:trPr>
        <w:tc>
          <w:tcPr>
            <w:tcW w:w="3975"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encaissements</w:t>
            </w: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44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44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Créances clients  2013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9 500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 de janvier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59 800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23 920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de février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46 644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77 740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31 096</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de mars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57 408</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95 680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d’avril</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68 172</w:t>
            </w:r>
          </w:p>
        </w:tc>
      </w:tr>
      <w:tr w:rsidR="002B19C4" w:rsidRPr="002B19C4" w:rsidTr="006B422E">
        <w:trPr>
          <w:trHeight w:val="315"/>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b/>
                <w:sz w:val="20"/>
                <w:szCs w:val="20"/>
              </w:rPr>
            </w:pPr>
            <w:r w:rsidRPr="002B19C4">
              <w:rPr>
                <w:rFonts w:ascii="Tahoma" w:hAnsi="Tahoma" w:cs="Tahoma"/>
                <w:b/>
                <w:sz w:val="20"/>
                <w:szCs w:val="20"/>
              </w:rPr>
              <w:t>Totaux</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45 380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106 444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159 068</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194 948</w:t>
            </w:r>
          </w:p>
        </w:tc>
      </w:tr>
      <w:tr w:rsidR="002B19C4" w:rsidRPr="002B19C4" w:rsidTr="00E045E9">
        <w:trPr>
          <w:trHeight w:val="315"/>
          <w:jc w:val="center"/>
        </w:trPr>
        <w:tc>
          <w:tcPr>
            <w:tcW w:w="3975"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décaissements</w:t>
            </w: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44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44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Dettes fournisseurs  2013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color w:val="FF0000"/>
                <w:sz w:val="20"/>
                <w:szCs w:val="20"/>
              </w:rPr>
            </w:pPr>
            <w:r w:rsidRPr="002B19C4">
              <w:rPr>
                <w:rFonts w:ascii="Tahoma" w:hAnsi="Tahoma" w:cs="Tahoma"/>
                <w:color w:val="FF0000"/>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janvier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février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mars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19 136</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57 408</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d’avril</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26 312</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TVA à décaisser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8 114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13 994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13 916</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Salaires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Charges sociales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Autres charges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10 286</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10 286</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10 764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10 764</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Paiement machine à découpe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41 013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41 013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15"/>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b/>
                <w:sz w:val="20"/>
                <w:szCs w:val="20"/>
              </w:rPr>
            </w:pPr>
            <w:r w:rsidRPr="002B19C4">
              <w:rPr>
                <w:rFonts w:ascii="Tahoma" w:hAnsi="Tahoma" w:cs="Tahoma"/>
                <w:b/>
                <w:sz w:val="20"/>
                <w:szCs w:val="20"/>
              </w:rPr>
              <w:t>Totaux</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101 259</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135 253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119 734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148 360</w:t>
            </w:r>
          </w:p>
        </w:tc>
      </w:tr>
    </w:tbl>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6B422E" w:rsidRDefault="006B422E" w:rsidP="006B422E">
      <w:pPr>
        <w:pStyle w:val="Annexe"/>
        <w:widowControl w:val="0"/>
        <w:overflowPunct/>
        <w:textAlignment w:val="auto"/>
        <w:rPr>
          <w:rFonts w:eastAsia="Times New Roman"/>
          <w:bCs w:val="0"/>
          <w:noProof/>
        </w:rPr>
      </w:pPr>
      <w:r w:rsidRPr="006B422E">
        <w:rPr>
          <w:rFonts w:eastAsia="Times New Roman"/>
          <w:bCs w:val="0"/>
          <w:noProof/>
        </w:rPr>
        <w:br w:type="page"/>
      </w: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noProof/>
          <w:sz w:val="20"/>
          <w:szCs w:val="20"/>
        </w:rPr>
        <w:t>ANNEXE A - (</w:t>
      </w:r>
      <w:r w:rsidRPr="002B19C4">
        <w:rPr>
          <w:rFonts w:ascii="Tahoma" w:hAnsi="Tahoma" w:cs="Tahoma"/>
          <w:b/>
          <w:sz w:val="20"/>
          <w:szCs w:val="20"/>
        </w:rPr>
        <w:t>à</w:t>
      </w:r>
      <w:r w:rsidRPr="002B19C4">
        <w:rPr>
          <w:rFonts w:ascii="Tahoma" w:hAnsi="Tahoma" w:cs="Tahoma"/>
          <w:b/>
          <w:caps/>
          <w:noProof/>
          <w:sz w:val="20"/>
          <w:szCs w:val="20"/>
        </w:rPr>
        <w:t xml:space="preserve"> </w:t>
      </w:r>
      <w:r w:rsidRPr="002B19C4">
        <w:rPr>
          <w:rFonts w:ascii="Tahoma" w:hAnsi="Tahoma" w:cs="Tahoma"/>
          <w:b/>
          <w:noProof/>
          <w:sz w:val="20"/>
          <w:szCs w:val="20"/>
        </w:rPr>
        <w:t>rendre avec la copie)</w:t>
      </w: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bCs/>
          <w:sz w:val="20"/>
          <w:szCs w:val="20"/>
        </w:rPr>
        <w:t>Budget de trésorerie</w:t>
      </w:r>
    </w:p>
    <w:p w:rsidR="002B19C4" w:rsidRPr="002B19C4" w:rsidRDefault="002B19C4" w:rsidP="002B19C4">
      <w:pPr>
        <w:rPr>
          <w:rFonts w:ascii="Tahoma" w:hAnsi="Tahoma" w:cs="Tahoma"/>
          <w:sz w:val="20"/>
          <w:szCs w:val="20"/>
        </w:rPr>
      </w:pPr>
    </w:p>
    <w:tbl>
      <w:tblPr>
        <w:tblW w:w="10455" w:type="dxa"/>
        <w:jc w:val="center"/>
        <w:shd w:val="clear" w:color="auto" w:fill="FFFFFF"/>
        <w:tblCellMar>
          <w:left w:w="70" w:type="dxa"/>
          <w:right w:w="70" w:type="dxa"/>
        </w:tblCellMar>
        <w:tblLook w:val="0000" w:firstRow="0" w:lastRow="0" w:firstColumn="0" w:lastColumn="0" w:noHBand="0" w:noVBand="0"/>
      </w:tblPr>
      <w:tblGrid>
        <w:gridCol w:w="3075"/>
        <w:gridCol w:w="1980"/>
        <w:gridCol w:w="1800"/>
        <w:gridCol w:w="1800"/>
        <w:gridCol w:w="1800"/>
      </w:tblGrid>
      <w:tr w:rsidR="00E045E9" w:rsidRPr="002B19C4" w:rsidTr="00E045E9">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B19C4" w:rsidRPr="002B19C4" w:rsidRDefault="002B19C4" w:rsidP="00E045E9">
            <w:pPr>
              <w:jc w:val="center"/>
              <w:rPr>
                <w:rFonts w:ascii="Tahoma" w:hAnsi="Tahoma" w:cs="Tahoma"/>
                <w:sz w:val="20"/>
                <w:szCs w:val="20"/>
              </w:rPr>
            </w:pPr>
            <w:r w:rsidRPr="002B19C4">
              <w:rPr>
                <w:rFonts w:ascii="Tahoma" w:hAnsi="Tahoma" w:cs="Tahoma"/>
                <w:sz w:val="20"/>
                <w:szCs w:val="20"/>
              </w:rPr>
              <w:t> </w:t>
            </w:r>
          </w:p>
        </w:tc>
        <w:tc>
          <w:tcPr>
            <w:tcW w:w="198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Trésorerie initiale</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Encaissements</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Décaissements</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18"/>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Trésorerie finale</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bl>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noProof/>
          <w:sz w:val="20"/>
          <w:szCs w:val="20"/>
        </w:rPr>
        <w:t>ANNEXE B - (</w:t>
      </w:r>
      <w:r w:rsidRPr="002B19C4">
        <w:rPr>
          <w:rFonts w:ascii="Tahoma" w:hAnsi="Tahoma" w:cs="Tahoma"/>
          <w:b/>
          <w:sz w:val="20"/>
          <w:szCs w:val="20"/>
        </w:rPr>
        <w:t>à</w:t>
      </w:r>
      <w:r w:rsidRPr="002B19C4">
        <w:rPr>
          <w:rFonts w:ascii="Tahoma" w:hAnsi="Tahoma" w:cs="Tahoma"/>
          <w:b/>
          <w:caps/>
          <w:noProof/>
          <w:sz w:val="20"/>
          <w:szCs w:val="20"/>
        </w:rPr>
        <w:t xml:space="preserve"> </w:t>
      </w:r>
      <w:r w:rsidRPr="002B19C4">
        <w:rPr>
          <w:rFonts w:ascii="Tahoma" w:hAnsi="Tahoma" w:cs="Tahoma"/>
          <w:b/>
          <w:noProof/>
          <w:sz w:val="20"/>
          <w:szCs w:val="20"/>
        </w:rPr>
        <w:t>rendre avec la copie)</w:t>
      </w:r>
    </w:p>
    <w:p w:rsidR="002B19C4" w:rsidRPr="002B19C4" w:rsidRDefault="002B19C4" w:rsidP="002B19C4">
      <w:pPr>
        <w:spacing w:after="60"/>
        <w:jc w:val="both"/>
        <w:rPr>
          <w:rFonts w:ascii="Tahoma" w:hAnsi="Tahoma" w:cs="Tahoma"/>
          <w:sz w:val="20"/>
          <w:szCs w:val="20"/>
        </w:rPr>
      </w:pPr>
    </w:p>
    <w:p w:rsidR="002B19C4" w:rsidRPr="002B19C4" w:rsidRDefault="002B19C4" w:rsidP="002B19C4">
      <w:pPr>
        <w:spacing w:after="60"/>
        <w:ind w:right="545"/>
        <w:jc w:val="center"/>
        <w:rPr>
          <w:rFonts w:ascii="Tahoma" w:hAnsi="Tahoma" w:cs="Tahoma"/>
          <w:b/>
          <w:noProof/>
          <w:sz w:val="20"/>
          <w:szCs w:val="20"/>
        </w:rPr>
      </w:pPr>
      <w:r w:rsidRPr="002B19C4">
        <w:rPr>
          <w:rFonts w:ascii="Tahoma" w:hAnsi="Tahoma" w:cs="Tahoma"/>
          <w:b/>
          <w:noProof/>
          <w:sz w:val="20"/>
          <w:szCs w:val="20"/>
        </w:rPr>
        <w:t xml:space="preserve">      Compte de résultat prévisionnel au 30 avril 2014</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620"/>
        <w:gridCol w:w="3060"/>
        <w:gridCol w:w="1620"/>
      </w:tblGrid>
      <w:tr w:rsidR="002B19C4" w:rsidRPr="002B19C4" w:rsidTr="00E045E9">
        <w:trPr>
          <w:trHeight w:val="308"/>
        </w:trPr>
        <w:tc>
          <w:tcPr>
            <w:tcW w:w="414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r w:rsidRPr="002B19C4">
              <w:rPr>
                <w:rFonts w:ascii="Tahoma" w:eastAsia="SimSun" w:hAnsi="Tahoma" w:cs="Tahoma"/>
                <w:b/>
                <w:noProof/>
                <w:sz w:val="20"/>
                <w:szCs w:val="20"/>
              </w:rPr>
              <w:t>CHARGES</w:t>
            </w:r>
          </w:p>
        </w:tc>
        <w:tc>
          <w:tcPr>
            <w:tcW w:w="162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297"/>
              <w:jc w:val="center"/>
              <w:rPr>
                <w:rFonts w:ascii="Tahoma" w:eastAsia="SimSun" w:hAnsi="Tahoma" w:cs="Tahoma"/>
                <w:b/>
                <w:noProof/>
                <w:sz w:val="20"/>
                <w:szCs w:val="20"/>
              </w:rPr>
            </w:pPr>
            <w:r w:rsidRPr="002B19C4">
              <w:rPr>
                <w:rFonts w:ascii="Tahoma" w:eastAsia="SimSun" w:hAnsi="Tahoma" w:cs="Tahoma"/>
                <w:b/>
                <w:noProof/>
                <w:sz w:val="20"/>
                <w:szCs w:val="20"/>
              </w:rPr>
              <w:t>Montant</w:t>
            </w:r>
          </w:p>
        </w:tc>
        <w:tc>
          <w:tcPr>
            <w:tcW w:w="306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r w:rsidRPr="002B19C4">
              <w:rPr>
                <w:rFonts w:ascii="Tahoma" w:eastAsia="SimSun" w:hAnsi="Tahoma" w:cs="Tahoma"/>
                <w:b/>
                <w:noProof/>
                <w:sz w:val="20"/>
                <w:szCs w:val="20"/>
              </w:rPr>
              <w:t>PRODUITS</w:t>
            </w:r>
          </w:p>
        </w:tc>
        <w:tc>
          <w:tcPr>
            <w:tcW w:w="162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117"/>
              <w:jc w:val="center"/>
              <w:rPr>
                <w:rFonts w:ascii="Tahoma" w:eastAsia="SimSun" w:hAnsi="Tahoma" w:cs="Tahoma"/>
                <w:b/>
                <w:noProof/>
                <w:sz w:val="20"/>
                <w:szCs w:val="20"/>
              </w:rPr>
            </w:pPr>
            <w:r w:rsidRPr="002B19C4">
              <w:rPr>
                <w:rFonts w:ascii="Tahoma" w:eastAsia="SimSun" w:hAnsi="Tahoma" w:cs="Tahoma"/>
                <w:b/>
                <w:noProof/>
                <w:sz w:val="20"/>
                <w:szCs w:val="20"/>
              </w:rPr>
              <w:t>Montant</w:t>
            </w:r>
          </w:p>
        </w:tc>
      </w:tr>
      <w:tr w:rsidR="002B19C4" w:rsidRPr="002B19C4" w:rsidTr="00E045E9">
        <w:trPr>
          <w:trHeight w:val="4260"/>
        </w:trPr>
        <w:tc>
          <w:tcPr>
            <w:tcW w:w="4140" w:type="dxa"/>
          </w:tcPr>
          <w:p w:rsidR="002B19C4" w:rsidRPr="002B19C4" w:rsidRDefault="002B19C4" w:rsidP="00E446E7">
            <w:pPr>
              <w:spacing w:after="60" w:line="276" w:lineRule="auto"/>
              <w:ind w:right="545" w:firstLine="214"/>
              <w:jc w:val="center"/>
              <w:rPr>
                <w:rFonts w:ascii="Tahoma" w:eastAsia="SimSun" w:hAnsi="Tahoma" w:cs="Tahoma"/>
                <w:b/>
                <w:noProof/>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Achats de matières premières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Autres charges externes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Rémunération du personnel</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Dotations aux amortissements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Charges financières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Charges exceptionnelles</w:t>
            </w:r>
          </w:p>
        </w:tc>
        <w:tc>
          <w:tcPr>
            <w:tcW w:w="162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252"/>
              <w:rPr>
                <w:rFonts w:ascii="Tahoma" w:eastAsia="SimSun" w:hAnsi="Tahoma" w:cs="Tahoma"/>
                <w:b/>
                <w:noProof/>
                <w:sz w:val="20"/>
                <w:szCs w:val="20"/>
              </w:rPr>
            </w:pPr>
          </w:p>
        </w:tc>
        <w:tc>
          <w:tcPr>
            <w:tcW w:w="306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Chiffres d’affaires</w:t>
            </w: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Produits financiers</w:t>
            </w: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Produits exceptionnels</w:t>
            </w:r>
          </w:p>
          <w:p w:rsidR="002B19C4" w:rsidRPr="002B19C4" w:rsidRDefault="002B19C4" w:rsidP="00E045E9">
            <w:pPr>
              <w:spacing w:after="200" w:line="276" w:lineRule="auto"/>
              <w:rPr>
                <w:rFonts w:ascii="Tahoma" w:eastAsia="SimSun" w:hAnsi="Tahoma" w:cs="Tahoma"/>
                <w:sz w:val="20"/>
                <w:szCs w:val="20"/>
              </w:rPr>
            </w:pPr>
          </w:p>
        </w:tc>
        <w:tc>
          <w:tcPr>
            <w:tcW w:w="162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r w:rsidRPr="002B19C4">
              <w:rPr>
                <w:rFonts w:ascii="Tahoma" w:eastAsia="SimSun" w:hAnsi="Tahoma" w:cs="Tahoma"/>
                <w:b/>
                <w:noProof/>
                <w:sz w:val="20"/>
                <w:szCs w:val="20"/>
              </w:rPr>
              <w:t xml:space="preserve">           </w:t>
            </w:r>
          </w:p>
        </w:tc>
      </w:tr>
      <w:tr w:rsidR="002B19C4" w:rsidRPr="002B19C4" w:rsidTr="00E446E7">
        <w:trPr>
          <w:trHeight w:val="567"/>
        </w:trPr>
        <w:tc>
          <w:tcPr>
            <w:tcW w:w="414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Total charges</w:t>
            </w:r>
          </w:p>
        </w:tc>
        <w:tc>
          <w:tcPr>
            <w:tcW w:w="1620" w:type="dxa"/>
            <w:vAlign w:val="center"/>
          </w:tcPr>
          <w:p w:rsidR="002B19C4" w:rsidRPr="002B19C4" w:rsidRDefault="002B19C4" w:rsidP="00E446E7">
            <w:pPr>
              <w:spacing w:line="276" w:lineRule="auto"/>
              <w:ind w:right="545"/>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Total produits</w:t>
            </w:r>
          </w:p>
        </w:tc>
        <w:tc>
          <w:tcPr>
            <w:tcW w:w="1620" w:type="dxa"/>
          </w:tcPr>
          <w:p w:rsidR="002B19C4" w:rsidRPr="002B19C4" w:rsidRDefault="002B19C4" w:rsidP="00E446E7">
            <w:pPr>
              <w:spacing w:line="276" w:lineRule="auto"/>
              <w:ind w:right="545"/>
              <w:jc w:val="center"/>
              <w:rPr>
                <w:rFonts w:ascii="Tahoma" w:eastAsia="SimSun" w:hAnsi="Tahoma" w:cs="Tahoma"/>
                <w:b/>
                <w:noProof/>
                <w:sz w:val="20"/>
                <w:szCs w:val="20"/>
              </w:rPr>
            </w:pPr>
          </w:p>
        </w:tc>
      </w:tr>
      <w:tr w:rsidR="002B19C4" w:rsidRPr="002B19C4" w:rsidTr="00E446E7">
        <w:trPr>
          <w:trHeight w:val="567"/>
        </w:trPr>
        <w:tc>
          <w:tcPr>
            <w:tcW w:w="414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Bénéfice</w:t>
            </w:r>
          </w:p>
        </w:tc>
        <w:tc>
          <w:tcPr>
            <w:tcW w:w="1620" w:type="dxa"/>
            <w:vAlign w:val="center"/>
          </w:tcPr>
          <w:p w:rsidR="002B19C4" w:rsidRPr="002B19C4" w:rsidRDefault="002B19C4" w:rsidP="00E446E7">
            <w:pPr>
              <w:spacing w:line="276" w:lineRule="auto"/>
              <w:ind w:right="545"/>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Perte</w:t>
            </w:r>
          </w:p>
        </w:tc>
        <w:tc>
          <w:tcPr>
            <w:tcW w:w="1620" w:type="dxa"/>
          </w:tcPr>
          <w:p w:rsidR="002B19C4" w:rsidRPr="002B19C4" w:rsidRDefault="002B19C4" w:rsidP="00E446E7">
            <w:pPr>
              <w:spacing w:line="276" w:lineRule="auto"/>
              <w:ind w:right="545"/>
              <w:jc w:val="center"/>
              <w:rPr>
                <w:rFonts w:ascii="Tahoma" w:eastAsia="SimSun" w:hAnsi="Tahoma" w:cs="Tahoma"/>
                <w:b/>
                <w:noProof/>
                <w:sz w:val="20"/>
                <w:szCs w:val="20"/>
              </w:rPr>
            </w:pPr>
          </w:p>
        </w:tc>
      </w:tr>
      <w:tr w:rsidR="002B19C4" w:rsidRPr="002B19C4" w:rsidTr="00E446E7">
        <w:trPr>
          <w:trHeight w:val="753"/>
        </w:trPr>
        <w:tc>
          <w:tcPr>
            <w:tcW w:w="414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r w:rsidRPr="002B19C4">
              <w:rPr>
                <w:rFonts w:ascii="Tahoma" w:eastAsia="SimSun" w:hAnsi="Tahoma" w:cs="Tahoma"/>
                <w:b/>
                <w:noProof/>
                <w:sz w:val="20"/>
                <w:szCs w:val="20"/>
              </w:rPr>
              <w:t>TOTAL GÉNÉRAL</w:t>
            </w:r>
          </w:p>
        </w:tc>
        <w:tc>
          <w:tcPr>
            <w:tcW w:w="162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r w:rsidRPr="002B19C4">
              <w:rPr>
                <w:rFonts w:ascii="Tahoma" w:eastAsia="SimSun" w:hAnsi="Tahoma" w:cs="Tahoma"/>
                <w:b/>
                <w:noProof/>
                <w:sz w:val="20"/>
                <w:szCs w:val="20"/>
              </w:rPr>
              <w:t>TOTAL GÉNÉRAL</w:t>
            </w:r>
          </w:p>
        </w:tc>
        <w:tc>
          <w:tcPr>
            <w:tcW w:w="162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p>
        </w:tc>
      </w:tr>
    </w:tbl>
    <w:p w:rsidR="0091648A" w:rsidRPr="002B19C4" w:rsidRDefault="0091648A" w:rsidP="006C009D">
      <w:pPr>
        <w:pStyle w:val="TexteSujet"/>
        <w:rPr>
          <w:szCs w:val="20"/>
        </w:rPr>
      </w:pPr>
    </w:p>
    <w:sectPr w:rsidR="0091648A" w:rsidRPr="002B19C4" w:rsidSect="00793EC2">
      <w:footerReference w:type="default" r:id="rId7"/>
      <w:pgSz w:w="11906" w:h="16838" w:code="9"/>
      <w:pgMar w:top="851" w:right="1134" w:bottom="99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B1" w:rsidRDefault="007B2FB1" w:rsidP="00964026">
      <w:r>
        <w:separator/>
      </w:r>
    </w:p>
    <w:p w:rsidR="007B2FB1" w:rsidRDefault="007B2FB1"/>
  </w:endnote>
  <w:endnote w:type="continuationSeparator" w:id="0">
    <w:p w:rsidR="007B2FB1" w:rsidRDefault="007B2FB1" w:rsidP="00964026">
      <w:r>
        <w:continuationSeparator/>
      </w:r>
    </w:p>
    <w:p w:rsidR="007B2FB1" w:rsidRDefault="007B2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9C" w:rsidRPr="00121FFA" w:rsidRDefault="0097219C"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14272F">
      <w:rPr>
        <w:rFonts w:ascii="Tahoma" w:hAnsi="Tahoma" w:cs="Tahoma"/>
        <w:noProof/>
        <w:sz w:val="20"/>
        <w:szCs w:val="20"/>
      </w:rPr>
      <w:t>5</w:t>
    </w:r>
    <w:r w:rsidRPr="00121FFA">
      <w:rPr>
        <w:rFonts w:ascii="Tahoma" w:hAnsi="Tahoma" w:cs="Tahoma"/>
        <w:sz w:val="20"/>
        <w:szCs w:val="20"/>
      </w:rPr>
      <w:fldChar w:fldCharType="end"/>
    </w:r>
    <w:r w:rsidRPr="00121FFA">
      <w:rPr>
        <w:rFonts w:ascii="Tahoma" w:hAnsi="Tahoma" w:cs="Tahoma"/>
        <w:sz w:val="20"/>
        <w:szCs w:val="20"/>
      </w:rPr>
      <w:t xml:space="preserve"> / </w:t>
    </w:r>
    <w:r w:rsidR="007B2FB1">
      <w:fldChar w:fldCharType="begin"/>
    </w:r>
    <w:r w:rsidR="007B2FB1">
      <w:instrText xml:space="preserve"> NUMPAGES   \* MERGEFORMAT </w:instrText>
    </w:r>
    <w:r w:rsidR="007B2FB1">
      <w:fldChar w:fldCharType="separate"/>
    </w:r>
    <w:r w:rsidR="0014272F" w:rsidRPr="0014272F">
      <w:rPr>
        <w:rFonts w:ascii="Tahoma" w:hAnsi="Tahoma" w:cs="Tahoma"/>
        <w:noProof/>
        <w:sz w:val="20"/>
        <w:szCs w:val="20"/>
      </w:rPr>
      <w:t>5</w:t>
    </w:r>
    <w:r w:rsidR="007B2FB1">
      <w:rPr>
        <w:rFonts w:ascii="Tahoma" w:hAnsi="Tahoma" w:cs="Tahoma"/>
        <w:noProof/>
        <w:sz w:val="20"/>
        <w:szCs w:val="20"/>
      </w:rPr>
      <w:fldChar w:fldCharType="end"/>
    </w:r>
  </w:p>
  <w:p w:rsidR="0097219C" w:rsidRDefault="009721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B1" w:rsidRDefault="007B2FB1" w:rsidP="00964026">
      <w:r>
        <w:separator/>
      </w:r>
    </w:p>
    <w:p w:rsidR="007B2FB1" w:rsidRDefault="007B2FB1"/>
  </w:footnote>
  <w:footnote w:type="continuationSeparator" w:id="0">
    <w:p w:rsidR="007B2FB1" w:rsidRDefault="007B2FB1" w:rsidP="00964026">
      <w:r>
        <w:continuationSeparator/>
      </w:r>
    </w:p>
    <w:p w:rsidR="007B2FB1" w:rsidRDefault="007B2F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3">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num>
  <w:num w:numId="5">
    <w:abstractNumId w:val="5"/>
  </w:num>
  <w:num w:numId="6">
    <w:abstractNumId w:val="6"/>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6"/>
  </w:num>
  <w:num w:numId="16">
    <w:abstractNumId w:val="7"/>
  </w:num>
  <w:num w:numId="17">
    <w:abstractNumId w:val="0"/>
  </w:num>
  <w:num w:numId="18">
    <w:abstractNumId w:val="8"/>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672B"/>
    <w:rsid w:val="00062ECE"/>
    <w:rsid w:val="000862A2"/>
    <w:rsid w:val="000A1D08"/>
    <w:rsid w:val="000B15FB"/>
    <w:rsid w:val="000B203C"/>
    <w:rsid w:val="000B5AAF"/>
    <w:rsid w:val="000B6642"/>
    <w:rsid w:val="000C62A4"/>
    <w:rsid w:val="000D30BB"/>
    <w:rsid w:val="000E4E06"/>
    <w:rsid w:val="00105429"/>
    <w:rsid w:val="0013265E"/>
    <w:rsid w:val="0014272F"/>
    <w:rsid w:val="001616B9"/>
    <w:rsid w:val="00166CD4"/>
    <w:rsid w:val="001A26F7"/>
    <w:rsid w:val="001A3F16"/>
    <w:rsid w:val="001B2BBE"/>
    <w:rsid w:val="001D5115"/>
    <w:rsid w:val="001F1964"/>
    <w:rsid w:val="00212CE2"/>
    <w:rsid w:val="00223CC0"/>
    <w:rsid w:val="00252B22"/>
    <w:rsid w:val="00253C90"/>
    <w:rsid w:val="00262CB8"/>
    <w:rsid w:val="002B19C4"/>
    <w:rsid w:val="002E1E57"/>
    <w:rsid w:val="002F5A60"/>
    <w:rsid w:val="00302877"/>
    <w:rsid w:val="0031231F"/>
    <w:rsid w:val="0032167E"/>
    <w:rsid w:val="00344D96"/>
    <w:rsid w:val="003536AF"/>
    <w:rsid w:val="00361E69"/>
    <w:rsid w:val="0036322A"/>
    <w:rsid w:val="00367D3C"/>
    <w:rsid w:val="0038612F"/>
    <w:rsid w:val="003C0638"/>
    <w:rsid w:val="003D7D26"/>
    <w:rsid w:val="003E1AA6"/>
    <w:rsid w:val="00401EE5"/>
    <w:rsid w:val="0041586B"/>
    <w:rsid w:val="00430AC9"/>
    <w:rsid w:val="00446BB9"/>
    <w:rsid w:val="004511CC"/>
    <w:rsid w:val="00472760"/>
    <w:rsid w:val="00483841"/>
    <w:rsid w:val="00490378"/>
    <w:rsid w:val="004A0101"/>
    <w:rsid w:val="004C0B76"/>
    <w:rsid w:val="004C7EA7"/>
    <w:rsid w:val="004E65EF"/>
    <w:rsid w:val="00503788"/>
    <w:rsid w:val="005122B3"/>
    <w:rsid w:val="00527239"/>
    <w:rsid w:val="005445E0"/>
    <w:rsid w:val="00546920"/>
    <w:rsid w:val="00553E31"/>
    <w:rsid w:val="005776C9"/>
    <w:rsid w:val="00580BE9"/>
    <w:rsid w:val="005B07B5"/>
    <w:rsid w:val="005C3C46"/>
    <w:rsid w:val="005C577B"/>
    <w:rsid w:val="005D06D0"/>
    <w:rsid w:val="005D50AB"/>
    <w:rsid w:val="005E2958"/>
    <w:rsid w:val="005F6DEB"/>
    <w:rsid w:val="005F761C"/>
    <w:rsid w:val="00603291"/>
    <w:rsid w:val="00614E2A"/>
    <w:rsid w:val="00640935"/>
    <w:rsid w:val="00646DA8"/>
    <w:rsid w:val="00660CCE"/>
    <w:rsid w:val="00685A24"/>
    <w:rsid w:val="00686D04"/>
    <w:rsid w:val="00696C89"/>
    <w:rsid w:val="006B06CE"/>
    <w:rsid w:val="006B2BDD"/>
    <w:rsid w:val="006B422E"/>
    <w:rsid w:val="006C009D"/>
    <w:rsid w:val="006C60ED"/>
    <w:rsid w:val="006C7FFD"/>
    <w:rsid w:val="006E6638"/>
    <w:rsid w:val="006F1E47"/>
    <w:rsid w:val="00705061"/>
    <w:rsid w:val="00707729"/>
    <w:rsid w:val="007246A9"/>
    <w:rsid w:val="00753EF9"/>
    <w:rsid w:val="00764CCF"/>
    <w:rsid w:val="00772860"/>
    <w:rsid w:val="00793EC2"/>
    <w:rsid w:val="00794B62"/>
    <w:rsid w:val="007B2FB1"/>
    <w:rsid w:val="007D3442"/>
    <w:rsid w:val="007E11D1"/>
    <w:rsid w:val="007F758A"/>
    <w:rsid w:val="00801E5D"/>
    <w:rsid w:val="00807896"/>
    <w:rsid w:val="00820734"/>
    <w:rsid w:val="008214CA"/>
    <w:rsid w:val="008252C4"/>
    <w:rsid w:val="00826067"/>
    <w:rsid w:val="008359F9"/>
    <w:rsid w:val="00837858"/>
    <w:rsid w:val="00854D4D"/>
    <w:rsid w:val="008720DB"/>
    <w:rsid w:val="008807FC"/>
    <w:rsid w:val="00886927"/>
    <w:rsid w:val="008D7D58"/>
    <w:rsid w:val="008E5399"/>
    <w:rsid w:val="008F1F7E"/>
    <w:rsid w:val="0091648A"/>
    <w:rsid w:val="009237C1"/>
    <w:rsid w:val="00941FC4"/>
    <w:rsid w:val="009478A5"/>
    <w:rsid w:val="00953AEA"/>
    <w:rsid w:val="0095703A"/>
    <w:rsid w:val="00964026"/>
    <w:rsid w:val="0097219C"/>
    <w:rsid w:val="009809B9"/>
    <w:rsid w:val="00981931"/>
    <w:rsid w:val="009A0BD2"/>
    <w:rsid w:val="009A43D7"/>
    <w:rsid w:val="009D3FA0"/>
    <w:rsid w:val="009E505C"/>
    <w:rsid w:val="009E692C"/>
    <w:rsid w:val="009F316E"/>
    <w:rsid w:val="00A02418"/>
    <w:rsid w:val="00A04BEF"/>
    <w:rsid w:val="00A256B7"/>
    <w:rsid w:val="00A31C17"/>
    <w:rsid w:val="00AE028B"/>
    <w:rsid w:val="00AF1469"/>
    <w:rsid w:val="00AF48DE"/>
    <w:rsid w:val="00AF6F7B"/>
    <w:rsid w:val="00B219D3"/>
    <w:rsid w:val="00B30C45"/>
    <w:rsid w:val="00B41B81"/>
    <w:rsid w:val="00B431ED"/>
    <w:rsid w:val="00B726AD"/>
    <w:rsid w:val="00BA3F58"/>
    <w:rsid w:val="00BA48FA"/>
    <w:rsid w:val="00BB1B37"/>
    <w:rsid w:val="00BB6727"/>
    <w:rsid w:val="00BC5AAD"/>
    <w:rsid w:val="00C00674"/>
    <w:rsid w:val="00C237D3"/>
    <w:rsid w:val="00C41C2F"/>
    <w:rsid w:val="00C46385"/>
    <w:rsid w:val="00C479CD"/>
    <w:rsid w:val="00C50855"/>
    <w:rsid w:val="00C50922"/>
    <w:rsid w:val="00C601FC"/>
    <w:rsid w:val="00C63216"/>
    <w:rsid w:val="00C767D1"/>
    <w:rsid w:val="00C93696"/>
    <w:rsid w:val="00CA6BEF"/>
    <w:rsid w:val="00CC1140"/>
    <w:rsid w:val="00CC2640"/>
    <w:rsid w:val="00CD6172"/>
    <w:rsid w:val="00CE4448"/>
    <w:rsid w:val="00CE5E20"/>
    <w:rsid w:val="00CE6529"/>
    <w:rsid w:val="00CF6119"/>
    <w:rsid w:val="00D110F3"/>
    <w:rsid w:val="00D14ADA"/>
    <w:rsid w:val="00D36A37"/>
    <w:rsid w:val="00D40729"/>
    <w:rsid w:val="00D55159"/>
    <w:rsid w:val="00D60DBE"/>
    <w:rsid w:val="00D7778E"/>
    <w:rsid w:val="00D869ED"/>
    <w:rsid w:val="00DA1901"/>
    <w:rsid w:val="00DB40C0"/>
    <w:rsid w:val="00DB548A"/>
    <w:rsid w:val="00DD5C00"/>
    <w:rsid w:val="00DD645E"/>
    <w:rsid w:val="00DE46D4"/>
    <w:rsid w:val="00E00EC7"/>
    <w:rsid w:val="00E045E9"/>
    <w:rsid w:val="00E058BC"/>
    <w:rsid w:val="00E33944"/>
    <w:rsid w:val="00E41BB8"/>
    <w:rsid w:val="00E446E7"/>
    <w:rsid w:val="00E56803"/>
    <w:rsid w:val="00E57895"/>
    <w:rsid w:val="00E62B41"/>
    <w:rsid w:val="00E76B60"/>
    <w:rsid w:val="00E949A0"/>
    <w:rsid w:val="00EB56EC"/>
    <w:rsid w:val="00EB6ACE"/>
    <w:rsid w:val="00F3119E"/>
    <w:rsid w:val="00F32473"/>
    <w:rsid w:val="00F434A9"/>
    <w:rsid w:val="00F53A36"/>
    <w:rsid w:val="00F55FDD"/>
    <w:rsid w:val="00F613AA"/>
    <w:rsid w:val="00F75320"/>
    <w:rsid w:val="00F82194"/>
    <w:rsid w:val="00FA08F7"/>
    <w:rsid w:val="00FA2BB8"/>
    <w:rsid w:val="00FA4E33"/>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2</TotalTime>
  <Pages>5</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6320</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Joëlle Cornette - LFT Tananarive</cp:lastModifiedBy>
  <cp:revision>4</cp:revision>
  <dcterms:created xsi:type="dcterms:W3CDTF">2015-03-02T07:11:00Z</dcterms:created>
  <dcterms:modified xsi:type="dcterms:W3CDTF">2015-03-02T16:29:00Z</dcterms:modified>
</cp:coreProperties>
</file>